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-1673860</wp:posOffset>
            </wp:positionH>
            <wp:positionV relativeFrom="paragraph">
              <wp:posOffset>-1259205</wp:posOffset>
            </wp:positionV>
            <wp:extent cx="8192135" cy="12175490"/>
            <wp:effectExtent l="0" t="0" r="12065" b="16510"/>
            <wp:wrapNone/>
            <wp:docPr id="5" name="图片 5" descr="D:\视频\节目单\新建文件夹 (4)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视频\节目单\新建文件夹 (4)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2135" cy="1217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-1843405</wp:posOffset>
            </wp:positionH>
            <wp:positionV relativeFrom="paragraph">
              <wp:posOffset>-1383665</wp:posOffset>
            </wp:positionV>
            <wp:extent cx="6039485" cy="3411855"/>
            <wp:effectExtent l="0" t="0" r="0" b="0"/>
            <wp:wrapNone/>
            <wp:docPr id="16" name="图片 16" descr="D:\视频\小报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视频\小报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5008245</wp:posOffset>
            </wp:positionV>
            <wp:extent cx="2979420" cy="2979420"/>
            <wp:effectExtent l="0" t="0" r="0" b="0"/>
            <wp:wrapNone/>
            <wp:docPr id="29" name="图片 29" descr="5e9041ee4cdd9158651236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e9041ee4cdd915865123663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7880000">
                      <a:off x="0" y="0"/>
                      <a:ext cx="29794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714375</wp:posOffset>
            </wp:positionV>
            <wp:extent cx="5265420" cy="216281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1465580</wp:posOffset>
                </wp:positionV>
                <wp:extent cx="7155180" cy="172593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8585" y="1493520"/>
                          <a:ext cx="7155180" cy="172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137" w:line="73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pacing w:val="34"/>
                                <w:sz w:val="160"/>
                                <w:szCs w:val="20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lang w:eastAsia="zh-CN"/>
                              </w:rPr>
                              <w:t>课程思政实施情况案例汇编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85pt;margin-top:115.4pt;height:135.9pt;width:563.4pt;z-index:251660288;mso-width-relative:page;mso-height-relative:page;" filled="f" stroked="f" coordsize="21600,21600" o:gfxdata="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CqESbdAAAADAEAAA8AAAAA&#10;AAAAAQAgAAAAIgAAAGRycy9kb3ducmV2LnhtbFBLAQIUABQAAAAIAIdO4kBbVJrM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137" w:line="73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pacing w:val="34"/>
                          <w:sz w:val="160"/>
                          <w:szCs w:val="20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56"/>
                          <w:szCs w:val="56"/>
                          <w:lang w:eastAsia="zh-CN"/>
                        </w:rPr>
                        <w:t>课程思政实施情况案例汇编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  <w:r>
        <w:rPr>
          <w:sz w:val="72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346710</wp:posOffset>
                </wp:positionV>
                <wp:extent cx="3437890" cy="431800"/>
                <wp:effectExtent l="0" t="0" r="0" b="63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144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Han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年4月   教务处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8pt;margin-top:27.3pt;height:34pt;width:270.7pt;z-index:251663360;mso-width-relative:page;mso-height-relative:page;" filled="f" stroked="f" coordsize="21600,21600" o:gfxdata="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2yL5O2wAAAAoBAAAPAAAAAAAAAAEAIAAAACIAAABk&#10;cnMvZG93bnJldi54bWxQSwECFAAUAAAACACHTuJAFZtwM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Han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年4月   教务处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30"/>
                          <w:szCs w:val="3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center"/>
        <w:rPr>
          <w:rFonts w:ascii="黑体" w:hAnsi="黑体" w:cs="黑体"/>
          <w:color w:val="000000"/>
          <w:sz w:val="72"/>
          <w:szCs w:val="22"/>
          <w:lang w:eastAsia="zh-CN"/>
        </w:rPr>
      </w:pPr>
    </w:p>
    <w:p>
      <w:pPr>
        <w:spacing w:line="730" w:lineRule="exact"/>
        <w:jc w:val="both"/>
        <w:rPr>
          <w:rFonts w:hAnsi="Calibri"/>
          <w:color w:val="000000"/>
          <w:sz w:val="36"/>
          <w:szCs w:val="22"/>
          <w:lang w:eastAsia="zh-CN"/>
        </w:rPr>
        <w:sectPr>
          <w:headerReference r:id="rId3" w:type="default"/>
          <w:footerReference r:id="rId4" w:type="default"/>
          <w:pgSz w:w="11900" w:h="16820"/>
          <w:pgMar w:top="1440" w:right="1800" w:bottom="1440" w:left="1800" w:header="720" w:footer="720" w:gutter="0"/>
          <w:pgNumType w:start="1"/>
          <w:cols w:space="720" w:num="1"/>
          <w:docGrid w:linePitch="326" w:charSpace="0"/>
        </w:sectPr>
      </w:pPr>
    </w:p>
    <w:p>
      <w:pPr>
        <w:spacing w:line="360" w:lineRule="auto"/>
        <w:jc w:val="center"/>
        <w:rPr>
          <w:rFonts w:ascii="黑体" w:hAnsi="黑体" w:eastAsia="黑体"/>
          <w:color w:val="000000"/>
          <w:sz w:val="44"/>
          <w:szCs w:val="44"/>
          <w:lang w:eastAsia="zh-CN"/>
        </w:rPr>
      </w:pPr>
      <w:r>
        <w:rPr>
          <w:rFonts w:ascii="黑体" w:hAnsi="黑体" w:eastAsia="黑体" w:cs="黑体"/>
          <w:color w:val="000000"/>
          <w:sz w:val="44"/>
          <w:szCs w:val="44"/>
          <w:lang w:eastAsia="zh-CN"/>
        </w:rPr>
        <w:t>《</w:t>
      </w:r>
      <w:r>
        <w:rPr>
          <w:rFonts w:hint="eastAsia" w:ascii="黑体" w:hAnsi="黑体" w:eastAsia="黑体" w:cs="黑体"/>
          <w:color w:val="000000"/>
          <w:sz w:val="44"/>
          <w:szCs w:val="44"/>
          <w:lang w:val="en-US" w:eastAsia="zh-CN"/>
        </w:rPr>
        <w:t>手工与生活</w:t>
      </w:r>
      <w:r>
        <w:rPr>
          <w:rFonts w:ascii="黑体" w:hAnsi="黑体" w:eastAsia="黑体" w:cs="黑体"/>
          <w:color w:val="000000"/>
          <w:sz w:val="44"/>
          <w:szCs w:val="44"/>
          <w:lang w:eastAsia="zh-CN"/>
        </w:rPr>
        <w:t>》课程思政实施情况</w:t>
      </w:r>
    </w:p>
    <w:p>
      <w:pPr>
        <w:spacing w:before="156" w:beforeLines="50" w:after="312" w:afterLines="100"/>
        <w:jc w:val="right"/>
        <w:rPr>
          <w:rFonts w:ascii="黑体" w:hAnsi="黑体" w:eastAsia="黑体" w:cs="仿宋"/>
          <w:color w:val="000000"/>
          <w:lang w:eastAsia="zh-CN"/>
        </w:rPr>
      </w:pPr>
      <w:r>
        <w:rPr>
          <w:rFonts w:hint="eastAsia" w:ascii="黑体" w:hAnsi="黑体" w:eastAsia="黑体" w:cstheme="minorBidi"/>
          <w:color w:val="000000"/>
          <w:lang w:val="en-US" w:eastAsia="zh-CN"/>
        </w:rPr>
        <w:t>— —公共基础教学</w:t>
      </w:r>
      <w:r>
        <w:rPr>
          <w:rFonts w:hint="eastAsia" w:ascii="黑体" w:hAnsi="黑体" w:eastAsia="黑体" w:cstheme="minorBidi"/>
          <w:color w:val="000000"/>
          <w:lang w:eastAsia="zh-CN"/>
        </w:rPr>
        <w:t>部</w:t>
      </w:r>
      <w:r>
        <w:rPr>
          <w:rFonts w:ascii="黑体" w:hAnsi="黑体" w:eastAsia="黑体" w:cstheme="minorBidi"/>
          <w:color w:val="000000"/>
          <w:lang w:eastAsia="zh-CN"/>
        </w:rPr>
        <w:t xml:space="preserve"> </w:t>
      </w:r>
      <w:r>
        <w:rPr>
          <w:rFonts w:hint="eastAsia" w:ascii="黑体" w:hAnsi="黑体" w:eastAsia="黑体" w:cstheme="minorBidi"/>
          <w:color w:val="000000"/>
          <w:lang w:val="en-US" w:eastAsia="zh-CN"/>
        </w:rPr>
        <w:t xml:space="preserve">   美术</w:t>
      </w:r>
      <w:r>
        <w:rPr>
          <w:rFonts w:hint="eastAsia" w:ascii="黑体" w:hAnsi="黑体" w:eastAsia="黑体" w:cstheme="minorBidi"/>
          <w:color w:val="000000"/>
          <w:lang w:eastAsia="zh-CN"/>
        </w:rPr>
        <w:t>专业</w:t>
      </w:r>
      <w:r>
        <w:rPr>
          <w:rFonts w:hint="eastAsia" w:ascii="黑体" w:hAnsi="黑体" w:eastAsia="黑体" w:cstheme="minorBidi"/>
          <w:color w:val="000000"/>
          <w:lang w:val="en-US" w:eastAsia="zh-CN"/>
        </w:rPr>
        <w:t xml:space="preserve">   </w:t>
      </w:r>
      <w:r>
        <w:rPr>
          <w:rFonts w:ascii="黑体" w:hAnsi="黑体" w:eastAsia="黑体" w:cstheme="minorBidi"/>
          <w:color w:val="000000"/>
          <w:lang w:eastAsia="zh-CN"/>
        </w:rPr>
        <w:t xml:space="preserve"> </w:t>
      </w:r>
      <w:r>
        <w:rPr>
          <w:rFonts w:hint="eastAsia" w:ascii="黑体" w:hAnsi="黑体" w:eastAsia="黑体" w:cstheme="minorBidi"/>
          <w:color w:val="000000"/>
          <w:lang w:val="en-US" w:eastAsia="zh-CN"/>
        </w:rPr>
        <w:t>付颖、杨玉洁、王璐、田双方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一、课程简介及课程思政设计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《手工与生活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》课程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是早期教育专业的专业核心课程，其目的是培养具有先进的教育理念、扎实的理论知识和过硬的教学技能的新一代幼儿教育人才。她们不仅能够完全胜任岗位要求，而且具有可持续发展的个人能力。对于未来的幼儿教师也就是我们的高职学生来讲，手工教学具有重要的意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《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手工与生活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》课程思政旨在教授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早期教育专业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本课程时，将每章知识点与思政点相结合，培养学生正确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的世界观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，树立学生对人民民主的坚定信仰，对中国文化的强烈自信，对中国制度的坚决拥护的思想，引导学生探索出正确的人生观和价值观。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课程思政实施情况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课程思政主题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非遗文化、民间工艺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布艺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hint="eastAsia" w:ascii="仿宋" w:hAnsi="仿宋" w:eastAsia="仿宋" w:cs="仿宋"/>
          <w:color w:val="000000"/>
          <w:spacing w:val="-1"/>
          <w:sz w:val="30"/>
          <w:szCs w:val="30"/>
          <w:lang w:val="en-US" w:eastAsia="zh-CN"/>
        </w:rPr>
        <w:t>一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章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第二节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项目名称：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手工布艺扎染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续接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非遗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优秀文化，继承中华文明成果，增强学生对中华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非遗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文化的认同感，激发文化自信与运用的自觉性，打下坚实的思想基础，突显高等教育的中国特色。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观察法，通过教学“课程思政”元素，润物细无声地融入到上课所讲授的内容和知识中，观察学生的听课效果与反应，发现学生对于“课程思政”元素引入的接受程度。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案例法，把一些典型的思政结合案例，融入课堂教学过程中。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行动研究法，在“布艺”课程思政教学改革实践中，通过行动与研究的结合，创造性地去解决教学实践中出现的各种疑难困惑问题，从而提高教学质量和“课程思政”能力。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经验总结法，分析“课程思政”情况，总结经验教训，提高教学质量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总结分析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课程思政并不仅仅局限于课堂与校园范围，本课题在完成创作的过程中，通过数字技术记录创作过程，撰写创作心得，数字化展示手工艺创作新产品，制作适用于互联网传播的微电影、H5、Vlog、推文、短视频等，制作成利于网络各类平台传播的传统文化数字产品。利用大学现有的校园媒体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远东之声，远东广播站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）、学生自媒体（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远东官方抖音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、个人抖音、B站平台、微信公众号等）进行前期传播。根据受众访问量、点击量，对传播内容进行筛选、优化。进而在活跃用户数量更庞大的平台如：微博、微信、B站、抖音、小红书、快手等社交媒体和内容分享平台进一步传播。形成多维立体式中国传统文化与课程思政建设创新传播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课程思政主题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2：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传统文化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纸艺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hint="eastAsia" w:ascii="仿宋" w:hAnsi="仿宋" w:eastAsia="仿宋" w:cs="仿宋"/>
          <w:color w:val="000000"/>
          <w:spacing w:val="-1"/>
          <w:sz w:val="30"/>
          <w:szCs w:val="30"/>
          <w:lang w:val="en-US" w:eastAsia="zh-CN"/>
        </w:rPr>
        <w:t>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章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第一节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项目名称：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中华传统纸艺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通过实践操作锻炼学生的动手能力，培养学生的创造性思维和设计能力，进而了解文化的传统内涵，加深对审美的认识。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观察法，通过教学“课程思政”元素，润物细无声地融入到上课所讲授的内容和知识中，观察学生的听课效果与反应，发现学生对于“课程思政”元素引入的接受程度。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案例法，把一些典型的思政结合案例，融入课堂教学过程中。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行动研究法，在“纸艺”课程思政教学改革实践中，通过行动与研究的结合，创造性地去解决教学实践中出现的各种疑难困惑问题，从而提高教学质量和“课程思政”能力。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经验总结法，分析“课程思政”情况，总结经验教训，提高教学质量。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总结分析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 xml:space="preserve">    通过纸艺的学习，了解文化的传统内涵，加深对审美的理解。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课程思政主题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工匠精神、精益求精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传统泥工艺走进课堂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项目名称名称：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泥工（第</w:t>
      </w:r>
      <w:r>
        <w:rPr>
          <w:rFonts w:hint="eastAsia" w:ascii="仿宋" w:hAnsi="仿宋" w:eastAsia="仿宋" w:cs="仿宋"/>
          <w:color w:val="000000"/>
          <w:spacing w:val="2"/>
          <w:sz w:val="30"/>
          <w:szCs w:val="30"/>
          <w:lang w:eastAsia="zh-CN"/>
        </w:rPr>
        <w:t>三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章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第二节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通过学习培养学生的审美情趣和生活情趣，通过细腻严谨的制作过程，培养学生一丝不苟、精益求精的工匠精神。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观察法，通过泥工教学“课程思政”元素，润物细无声地融入到上课所讲授的内容和知识中，观察学生的听课效果与反应，发现学生对于泥工“课程思政”元素引入的接受程度。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案例法，把一些典型的思政结合案例，融入泥工课堂教学过程中。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行动研究法，在“泥工”课程思政教学改革实践中，通过行动与研究的结合，创造性地去解决教学实践中出现的各种疑难困惑问题，从而提高教学质量和“课程思政”能力。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经验总结法，分析概况泥工“课程思政”情况，总结经验教训，提高教学质量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总结分析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 xml:space="preserve"> 通过泥工的学习，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培养学生的审美情趣和生活情趣，通过细腻严谨的制作过程，培养学生一丝不苟、精益求精的工匠精神。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课程思政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主题 4：勤俭节约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 xml:space="preserve"> 其他材料造型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项目名称名称：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综合材料造型（第</w:t>
      </w:r>
      <w:r>
        <w:rPr>
          <w:rFonts w:hint="eastAsia" w:ascii="仿宋" w:hAnsi="仿宋" w:eastAsia="仿宋" w:cs="仿宋"/>
          <w:color w:val="000000"/>
          <w:spacing w:val="-1"/>
          <w:sz w:val="30"/>
          <w:szCs w:val="30"/>
          <w:lang w:eastAsia="zh-CN"/>
        </w:rPr>
        <w:t>四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章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第二节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提高利用各种材料进行设计的能力，在设计中发展创新思维。在操作中发展动手能力，在欣赏和比较中提高审美趣味，在创作中感受手工活动的乐趣，在制作过程中传承勤俭节约的传统美德。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1、观察法，通过其他材料造型教学“课程思政”元素，润物细无声地融入到上课所讲授的内容和知识中，观察学生的听课效果与反应，发现学生对于其他材料造型“课程思政”元素引入的接受程度。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2、案例法，把一些典型的思政结合案例，融入其他材料造型课堂教学过程中。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3、行动研究法，在“其他材料造型”课程思政教学改革实践中，通过行动与研究的结合，创造性地去解决教学实践中出现的各种疑难困惑问题，从而提高教学质量和“课程思政”能力。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4、经验总结法，分析概况其他材料造型“课程思政”情况，总结经验教训，提高教学质量。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总结分析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通过综合材料的学习，学生知道了生活中很多的材料都可以做成艺术品，从而善于观察生活、热爱生活、改善生活。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课程思政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主题5：</w:t>
      </w:r>
      <w:r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  <w:t>大设计观、艺术与自然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环保材料创意制作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项目名称名称：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盒、瓶的创意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五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章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第二节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生活中有很多废旧物品，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通过对废旧环保材料的再次加工利用，培养学生的观察力和想象力，提高设计能力和动手能力。培养学生的团队意识和集体意识，提高审美能力。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1、观察法，通过其他材料造型教学“课程思政”元素，润物细无声地融入到上课所讲授的内容和知识中，观察学生的听课效果与反应，发现学生对于其他材料造型“课程思政”元素引入的接受程度。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2、案例法，把一些典型的思政结合案例，融入其他材料造型课堂教学过程中。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3、行动研究法，在“其他材料造型”课程思政教学改革实践中，通过行动与研究的结合，创造性地去解决教学实践中出现的各种疑难困惑问题，从而提高教学质量和“课程思政”能力。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4、经验总结法，分析概况其他材料造型“课程思政”情况，总结经验教训，提高教学质量。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总结分析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生活中经常用到的一次性餐具、包装盒、方便面桶、塑料果冻杯、酸奶杯等，在给生活带来方便之余，用完一次就丢弃也是一种巨大的浪费。废旧物品的材料大多之地解释、可塑性强，合理地利用这些废旧物品既可以做到物尽其用，又可以美化生活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环保材料的应用是学前美术教育的重要组成部分，有助于提高学生的手工技能和环保意识，增强审美能力，开发创新思维，以艺术的眼光美化生活。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课程思政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主题6：</w:t>
      </w:r>
      <w:r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  <w:t>独立思考、勇于创新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玩教具的制作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项目名称名称：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玩教具的分类及制作方法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六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章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第二节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让学生了解自制玩教具的目的和作用，重视自制玩教具在幼儿教育中的重要意义。通过准备和制作过程锻炼动手能力，并且养成观察生活的能力，激发想象力和创造力，使学生们在做中学、学中做。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1、观察法，通过其他材料造型教学“课程思政”元素，润物细无声地融入到上课所讲授的内容和知识中，观察学生的听课效果与反应，发现学生对于其他材料造型“课程思政”元素引入的接受程度。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2、案例法，把一些典型的思政结合案例，融入其他材料造型课堂教学过程中。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3、行动研究法，在“其他材料造型”课程思政教学改革实践中，通过行动与研究的结合，创造性地去解决教学实践中出现的各种疑难困惑问题，从而提高教学质量和“课程思政”能力。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4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4、经验总结法，分析概况其他材料造型“课程思政”情况，总结经验教训，提高教学质量。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总结分析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玩教具可以分为体育类玩教具、益智类玩教具、知识类玩教具、课程类玩教具、科学类玩教具。根据不同玩教具的类型进行创新，设计出适合学生年龄特点的玩教具。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课程思政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主题7：</w:t>
      </w:r>
      <w:r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  <w:t>人文情怀、审美情趣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sz w:val="30"/>
          <w:szCs w:val="30"/>
          <w:lang w:val="en-US" w:eastAsia="zh-CN"/>
        </w:rPr>
        <w:t>幼儿园环境装饰设计与制作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项目名称名称：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幼儿园环境创设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七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章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第二节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通过幼儿园历史、初衷和名园环境创设等内容，使学生了解到我国幼儿园环境装饰艺术，幼儿园的装饰风格都代表了普通大众的生活文化，是劳动人民集体智慧的体现，反映了劳动人民的精神追求。帮助学生更深刻的领会中华民族的文化价值理念，感受艺术的美学风范，提升学生的人文素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讲授分享：在绪论中引入案例，通过案例分享介绍某幼儿园的建设背景，使学生树立文化自信，培养学生的家国情怀。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翻转课堂：慕课资源、文献资源、视频及图像资源共同为翻转课堂提供支架；课堂展示、师生思辨讨论实现课堂高阶性、高效性。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讲授：通过“幼儿园墙饰”的图例，帮助学生明确墙饰中涵盖的绘画、雕塑、壁饰、民间工艺、抽象艺术等多种表现形式，体现了艺术性、教育性，加强学生的人文素养和文化自信。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头脑风暴：通过课程资源分享引导学生针对壁面装饰的表现形式展开讨论，并列举幼儿园代表性的环境创设作品。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四、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总结分析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通过介绍幼儿园的节日装饰艺术，让学生在了解节日装饰的原则和要点，常用的表现形式，运用各种技巧，学会合理使用各类材料，培养学生创立新思想新事物的精神。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课程思政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主题8：</w:t>
      </w:r>
      <w:r>
        <w:rPr>
          <w:rFonts w:hint="eastAsia" w:ascii="仿宋" w:hAnsi="仿宋" w:eastAsia="仿宋" w:cs="仿宋"/>
          <w:b w:val="0"/>
          <w:bCs w:val="0"/>
          <w:color w:val="000000"/>
          <w:spacing w:val="1"/>
          <w:sz w:val="30"/>
          <w:szCs w:val="30"/>
          <w:lang w:val="en-US" w:eastAsia="zh-CN"/>
        </w:rPr>
        <w:t>民族精神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案例主题：</w:t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sz w:val="30"/>
          <w:szCs w:val="30"/>
          <w:lang w:val="en-US" w:eastAsia="zh-CN"/>
        </w:rPr>
        <w:t>幼儿园节日装饰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项目名称名称：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幼儿园节日装饰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（第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八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章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val="en-US" w:eastAsia="zh-CN"/>
        </w:rPr>
        <w:t>第二节</w:t>
      </w:r>
      <w:r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案例意义：</w:t>
      </w: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通过幼儿园节日环境创设等内容，使学生了解到我国传统历史和风俗，传承传统节日习俗，进而以弘扬和培育学生的民族精神，增强民族认同感，树立民族自信心，这对大学生的思想政治教育有着重要的意义。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6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授课形式与教学方法：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讲授分享：在图片中引入案例，通过案例分享介绍某幼儿园的节日装饰，使学生了解到我国传统历史和风俗，培养学生的文化自信。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翻转课堂：慕课资源、文献资源、视频及图像资源共同为翻转课堂提供支架；课堂展示、师生思辨讨论实现课堂高阶性、高效性。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 xml:space="preserve">讲授：通过“幼儿园节日装饰”的图例，帮助学生明确节日装饰中涵盖的绘画、雕塑、壁饰、民间工艺、抽象艺术等多种表现形式，传统节日装饰物的制作与制作材料的演变，加强学生的人文素养。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头脑风暴：通过课程资源分享引导学生针对壁面装饰的表现形式展开讨论，并列举幼儿园代表性的环境创设作品。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pacing w:val="1"/>
          <w:sz w:val="30"/>
          <w:szCs w:val="30"/>
          <w:lang w:eastAsia="zh-CN"/>
        </w:rPr>
        <w:t>总结分析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  <w:t>艺术是实施美育的主要途径，应充分发挥艺术的情感教育功能，促进学生人格的形成，激发感受美、表现美的情趣，丰富审美经验，体验自由表达和创造的快乐，重视学生活动过程中的情感体验和态度。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both"/>
        <w:textAlignment w:val="auto"/>
        <w:rPr>
          <w:rFonts w:hint="eastAsia" w:ascii="仿宋" w:hAnsi="仿宋" w:eastAsia="仿宋" w:cs="仿宋"/>
          <w:color w:val="000000"/>
          <w:spacing w:val="1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8" w:firstLineChars="200"/>
        <w:jc w:val="both"/>
        <w:textAlignment w:val="auto"/>
        <w:rPr>
          <w:rFonts w:hint="eastAsia" w:ascii="仿宋" w:hAnsi="仿宋" w:eastAsia="仿宋" w:cs="仿宋"/>
          <w:color w:val="000000"/>
          <w:spacing w:val="7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</w:p>
    <w:sectPr>
      <w:headerReference r:id="rId5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t>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153035</wp:posOffset>
          </wp:positionH>
          <wp:positionV relativeFrom="paragraph">
            <wp:posOffset>-223520</wp:posOffset>
          </wp:positionV>
          <wp:extent cx="2267585" cy="365760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rcRect l="3833" t="19067" r="-11841" b="12652"/>
                  <a:stretch>
                    <a:fillRect/>
                  </a:stretch>
                </pic:blipFill>
                <pic:spPr>
                  <a:xfrm>
                    <a:off x="0" y="0"/>
                    <a:ext cx="22675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《</w:t>
    </w:r>
    <w:r>
      <w:rPr>
        <w:rFonts w:hint="eastAsia"/>
        <w:lang w:val="en-US" w:eastAsia="zh-CN"/>
      </w:rPr>
      <w:t>手工与生活</w:t>
    </w:r>
    <w:r>
      <w:rPr>
        <w:rFonts w:hint="eastAsia"/>
      </w:rPr>
      <w:t>》课程思政</w:t>
    </w:r>
    <w:r>
      <w:t>实施情况</w:t>
    </w:r>
  </w:p>
  <w:p>
    <w:pPr>
      <w:pStyle w:val="3"/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CCE5A6"/>
    <w:multiLevelType w:val="singleLevel"/>
    <w:tmpl w:val="C2CCE5A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7D494B8"/>
    <w:multiLevelType w:val="singleLevel"/>
    <w:tmpl w:val="C7D494B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6403120"/>
    <w:multiLevelType w:val="singleLevel"/>
    <w:tmpl w:val="1640312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DE51F12"/>
    <w:multiLevelType w:val="singleLevel"/>
    <w:tmpl w:val="3DE51F1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51C52FF"/>
    <w:multiLevelType w:val="singleLevel"/>
    <w:tmpl w:val="451C52F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I1NTYxZjU2Yjk4MjgyMmQxMjM2MWE1OTM4NmMxNWYifQ=="/>
  </w:docVars>
  <w:rsids>
    <w:rsidRoot w:val="00135AC4"/>
    <w:rsid w:val="00135AC4"/>
    <w:rsid w:val="002162E0"/>
    <w:rsid w:val="00230C62"/>
    <w:rsid w:val="0028684F"/>
    <w:rsid w:val="003818A8"/>
    <w:rsid w:val="0060525A"/>
    <w:rsid w:val="007341ED"/>
    <w:rsid w:val="007F044F"/>
    <w:rsid w:val="0086597A"/>
    <w:rsid w:val="00C96534"/>
    <w:rsid w:val="00CF0E2B"/>
    <w:rsid w:val="00F9273F"/>
    <w:rsid w:val="00FC1E08"/>
    <w:rsid w:val="04850681"/>
    <w:rsid w:val="1EBF6869"/>
    <w:rsid w:val="28162528"/>
    <w:rsid w:val="34D07543"/>
    <w:rsid w:val="3D540FE0"/>
    <w:rsid w:val="41DA6B90"/>
    <w:rsid w:val="4647528E"/>
    <w:rsid w:val="46966CEA"/>
    <w:rsid w:val="488C52A5"/>
    <w:rsid w:val="4CBB6EBE"/>
    <w:rsid w:val="576860C2"/>
    <w:rsid w:val="66AFF103"/>
    <w:rsid w:val="70DA0006"/>
    <w:rsid w:val="7C4A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3">
    <w:name w:val="header"/>
    <w:basedOn w:val="1"/>
    <w:link w:val="6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4181</Words>
  <Characters>4188</Characters>
  <Lines>1</Lines>
  <Paragraphs>1</Paragraphs>
  <TotalTime>5</TotalTime>
  <ScaleCrop>false</ScaleCrop>
  <LinksUpToDate>false</LinksUpToDate>
  <CharactersWithSpaces>4218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2023-04-21T10:40:00Z</dcterms:created>
  <dc:creator>admin</dc:creator>
  <cp:lastModifiedBy>君子</cp:lastModifiedBy>
  <dcterms:modified xsi:type="dcterms:W3CDTF">2023-10-23T03:28:31Z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ICV">
    <vt:lpwstr>DD133C39D55A4B30AFFDA7F1EAD964AB_12</vt:lpwstr>
  </property>
</Properties>
</file>